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60"/>
      </w:pPr>
      <w:r>
        <w:rPr>
          <w:i/>
          <w:sz w:val="22"/>
        </w:rPr>
        <w:t>[Instructions — delete this paragraph before filing. Replace the sample entries with the authorities in your brief and the sample page numbers with the brief's printed page numbers. Each entry is one paragraph: type the full citation, press Tab once, then type the page numbers — the dot leader and right-aligned numbers come from the tab stop, so never type periods. To add an entry, copy an existing one so its tab stop and hanging indent come with it. Keep the categories and order your court's rule requires, list every page (ranges only for consecutive pages), and use passim only where your court allows it. Match the font and size to your brief: 14 pt for FRAP 32(a)(5), 12 pt Century for Supreme Court booklet briefs (Rule 33.1(b)), at least 13 pt in California (Cal. Rules of Court, rule 8.204(b)). If Century Schoolbook is not installed, use New Century Schoolbook, Century, or another serif your court accepts. Template from briefauthority.com; formatting help, not legal advice.]</w:t>
      </w:r>
    </w:p>
    <w:p>
      <w:pPr>
        <w:spacing w:before="0" w:after="240"/>
        <w:jc w:val="center"/>
      </w:pPr>
      <w:r>
        <w:rPr>
          <w:b/>
        </w:rPr>
        <w:t>TABLE OF AUTHORITIES</w:t>
      </w:r>
    </w:p>
    <w:p>
      <w:pPr>
        <w:spacing w:before="0" w:after="120"/>
        <w:jc w:val="right"/>
      </w:pPr>
      <w:r>
        <w:rPr>
          <w:u w:val="single"/>
        </w:rPr>
        <w:t>Page(s)</w:t>
      </w:r>
    </w:p>
    <w:p>
      <w:pPr>
        <w:keepNext/>
        <w:spacing w:before="240" w:after="120"/>
      </w:pPr>
      <w:r>
        <w:rPr>
          <w:b/>
        </w:rPr>
        <w:t>Cases</w:t>
      </w:r>
    </w:p>
    <w:p>
      <w:pPr>
        <w:tabs>
          <w:tab w:pos="9360" w:val="right" w:leader="dot"/>
        </w:tabs>
        <w:spacing w:before="0" w:after="160"/>
        <w:ind w:left="720" w:hanging="720" w:right="1080"/>
      </w:pPr>
      <w:r>
        <w:rPr>
          <w:i/>
        </w:rPr>
        <w:t>Anderson v. Liberty Lobby, Inc.</w:t>
      </w:r>
      <w:r>
        <w:rPr>
          <w:i w:val="0"/>
        </w:rPr>
        <w:t>, 477 U.S. 242 (1986)</w:t>
      </w:r>
      <w:r>
        <w:tab/>
        <w:t>4, 9</w:t>
      </w:r>
    </w:p>
    <w:p>
      <w:pPr>
        <w:tabs>
          <w:tab w:pos="9360" w:val="right" w:leader="dot"/>
        </w:tabs>
        <w:spacing w:before="0" w:after="160"/>
        <w:ind w:left="720" w:hanging="720" w:right="1080"/>
      </w:pPr>
      <w:r>
        <w:rPr>
          <w:i/>
        </w:rPr>
        <w:t>Celotex Corp. v. Catrett</w:t>
      </w:r>
      <w:r>
        <w:rPr>
          <w:i w:val="0"/>
        </w:rPr>
        <w:t>, 477 U.S. 317 (1986)</w:t>
      </w:r>
      <w:r>
        <w:tab/>
        <w:t>6-8, 12</w:t>
      </w:r>
    </w:p>
    <w:p>
      <w:pPr>
        <w:tabs>
          <w:tab w:pos="9360" w:val="right" w:leader="dot"/>
        </w:tabs>
        <w:spacing w:before="0" w:after="160"/>
        <w:ind w:left="720" w:hanging="720" w:right="1080"/>
      </w:pPr>
      <w:r>
        <w:rPr>
          <w:i/>
        </w:rPr>
        <w:t>Students for Fair Admissions, Inc. v. President &amp; Fellows of Harvard College</w:t>
      </w:r>
      <w:r>
        <w:rPr>
          <w:i w:val="0"/>
        </w:rPr>
        <w:t>, 600 U.S. 181 (2023)</w:t>
      </w:r>
      <w:r>
        <w:tab/>
        <w:t>3, 10</w:t>
      </w:r>
    </w:p>
    <w:p>
      <w:pPr>
        <w:keepNext/>
        <w:spacing w:before="240" w:after="120"/>
      </w:pPr>
      <w:r>
        <w:rPr>
          <w:b/>
        </w:rPr>
        <w:t>Constitutional Provisions</w:t>
      </w:r>
    </w:p>
    <w:p>
      <w:pPr>
        <w:tabs>
          <w:tab w:pos="9360" w:val="right" w:leader="dot"/>
        </w:tabs>
        <w:spacing w:before="0" w:after="160"/>
        <w:ind w:left="720" w:hanging="720" w:right="1080"/>
      </w:pPr>
      <w:r>
        <w:rPr>
          <w:i w:val="0"/>
        </w:rPr>
        <w:t>U.S. Const. art. III, § 2, cl. 1</w:t>
      </w:r>
      <w:r>
        <w:tab/>
        <w:t>1</w:t>
      </w:r>
    </w:p>
    <w:p>
      <w:pPr>
        <w:tabs>
          <w:tab w:pos="9360" w:val="right" w:leader="dot"/>
        </w:tabs>
        <w:spacing w:before="0" w:after="160"/>
        <w:ind w:left="720" w:hanging="720" w:right="1080"/>
      </w:pPr>
      <w:r>
        <w:rPr>
          <w:i w:val="0"/>
        </w:rPr>
        <w:t>U.S. Const. amend. XIV, § 1</w:t>
      </w:r>
      <w:r>
        <w:tab/>
        <w:t>2, 11</w:t>
      </w:r>
    </w:p>
    <w:p>
      <w:pPr>
        <w:keepNext/>
        <w:spacing w:before="240" w:after="120"/>
      </w:pPr>
      <w:r>
        <w:rPr>
          <w:b/>
        </w:rPr>
        <w:t>Statutes</w:t>
      </w:r>
    </w:p>
    <w:p>
      <w:pPr>
        <w:tabs>
          <w:tab w:pos="9360" w:val="right" w:leader="dot"/>
        </w:tabs>
        <w:spacing w:before="0" w:after="160"/>
        <w:ind w:left="720" w:hanging="720" w:right="1080"/>
      </w:pPr>
      <w:r>
        <w:rPr>
          <w:i w:val="0"/>
        </w:rPr>
        <w:t>28 U.S.C. § 1291</w:t>
      </w:r>
      <w:r>
        <w:tab/>
        <w:t>1</w:t>
      </w:r>
    </w:p>
    <w:p>
      <w:pPr>
        <w:tabs>
          <w:tab w:pos="9360" w:val="right" w:leader="dot"/>
        </w:tabs>
        <w:spacing w:before="0" w:after="160"/>
        <w:ind w:left="720" w:hanging="720" w:right="1080"/>
      </w:pPr>
      <w:r>
        <w:rPr>
          <w:i w:val="0"/>
        </w:rPr>
        <w:t>28 U.S.C. § 1331</w:t>
      </w:r>
      <w:r>
        <w:tab/>
        <w:t>1</w:t>
      </w:r>
    </w:p>
    <w:p>
      <w:pPr>
        <w:tabs>
          <w:tab w:pos="9360" w:val="right" w:leader="dot"/>
        </w:tabs>
        <w:spacing w:before="0" w:after="160"/>
        <w:ind w:left="720" w:hanging="720" w:right="1080"/>
      </w:pPr>
      <w:r>
        <w:rPr>
          <w:i w:val="0"/>
        </w:rPr>
        <w:t>42 U.S.C. § 1983</w:t>
      </w:r>
      <w:r>
        <w:tab/>
        <w:t>2, 5</w:t>
      </w:r>
    </w:p>
    <w:p>
      <w:pPr>
        <w:keepNext/>
        <w:spacing w:before="240" w:after="120"/>
      </w:pPr>
      <w:r>
        <w:rPr>
          <w:b/>
        </w:rPr>
        <w:t>Rules</w:t>
      </w:r>
    </w:p>
    <w:p>
      <w:pPr>
        <w:tabs>
          <w:tab w:pos="9360" w:val="right" w:leader="dot"/>
        </w:tabs>
        <w:spacing w:before="0" w:after="160"/>
        <w:ind w:left="720" w:hanging="720" w:right="1080"/>
      </w:pPr>
      <w:r>
        <w:rPr>
          <w:i w:val="0"/>
        </w:rPr>
        <w:t>Fed. R. App. P. 28(a)(3)</w:t>
      </w:r>
      <w:r>
        <w:tab/>
        <w:t>16</w:t>
      </w:r>
    </w:p>
    <w:p>
      <w:pPr>
        <w:tabs>
          <w:tab w:pos="9360" w:val="right" w:leader="dot"/>
        </w:tabs>
        <w:spacing w:before="0" w:after="160"/>
        <w:ind w:left="720" w:hanging="720" w:right="1080"/>
      </w:pPr>
      <w:r>
        <w:rPr>
          <w:i w:val="0"/>
        </w:rPr>
        <w:t>Fed. R. Civ. P. 56(a)</w:t>
      </w:r>
      <w:r>
        <w:tab/>
        <w:t>6, 7</w:t>
      </w:r>
    </w:p>
    <w:p>
      <w:pPr>
        <w:keepNext/>
        <w:spacing w:before="240" w:after="120"/>
      </w:pPr>
      <w:r>
        <w:rPr>
          <w:b/>
        </w:rPr>
        <w:t>Other Authorities</w:t>
      </w:r>
    </w:p>
    <w:p>
      <w:pPr>
        <w:tabs>
          <w:tab w:pos="9360" w:val="right" w:leader="dot"/>
        </w:tabs>
        <w:spacing w:before="0" w:after="160"/>
        <w:ind w:left="720" w:hanging="720" w:right="1080"/>
      </w:pPr>
      <w:r>
        <w:rPr>
          <w:i w:val="0"/>
        </w:rPr>
        <w:t xml:space="preserve">Antonin Scalia &amp; Bryan A. Garner, </w:t>
      </w:r>
      <w:r>
        <w:rPr>
          <w:i/>
        </w:rPr>
        <w:t>Reading Law: The Interpretation of Legal Texts</w:t>
      </w:r>
      <w:r>
        <w:rPr>
          <w:i w:val="0"/>
        </w:rPr>
        <w:t xml:space="preserve"> (2012)</w:t>
      </w:r>
      <w:r>
        <w:tab/>
        <w:t>13</w:t>
      </w:r>
    </w:p>
    <w:p>
      <w:pPr>
        <w:tabs>
          <w:tab w:pos="9360" w:val="right" w:leader="dot"/>
        </w:tabs>
        <w:spacing w:before="0" w:after="160"/>
        <w:ind w:left="720" w:hanging="720" w:right="1080"/>
      </w:pPr>
      <w:r>
        <w:rPr>
          <w:i w:val="0"/>
        </w:rPr>
        <w:t xml:space="preserve">10A Charles Alan Wright &amp; Arthur R. Miller, </w:t>
      </w:r>
      <w:r>
        <w:rPr>
          <w:i/>
        </w:rPr>
        <w:t>Federal Practice and Procedure</w:t>
      </w:r>
      <w:r>
        <w:rPr>
          <w:i w:val="0"/>
        </w:rPr>
        <w:t xml:space="preserve"> § 2727 (4th ed.)</w:t>
      </w:r>
      <w:r>
        <w:tab/>
        <w:t>12</w:t>
      </w:r>
    </w:p>
    <w:sectPr w:rsidR="00FC693F" w:rsidRPr="0006063C" w:rsidSect="00034616">
      <w:footerReference w:type="default" r:id="rId9"/>
      <w:pgSz w:w="12240" w:h="15840"/>
      <w:pgMar w:top="1440" w:right="1440" w:bottom="1440" w:left="1440" w:header="720" w:footer="720" w:gutter="0"/>
      <w:pgNumType w:fmt="lowerRoman"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ii</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Century Schoolbook" w:hAnsi="Century Schoolbook" w:cs="Century Schoolbook" w:eastAsia="Century Schoolbook"/>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Authorities template</dc:title>
  <dc:subject>Blank table of authorities with dot-leader tab stops</dc:subject>
  <dc:creator>BriefAuthority</dc:creator>
  <cp:keywords>table of authorities, TOA, brief, dot leaders</cp:keywords>
  <dc:description>generated by python-docx</dc:description>
  <cp:lastModifiedBy/>
  <cp:revision>1</cp:revision>
  <dcterms:created xsi:type="dcterms:W3CDTF">2013-12-23T23:15:00Z</dcterms:created>
  <dcterms:modified xsi:type="dcterms:W3CDTF">2013-12-23T23:15:00Z</dcterms:modified>
  <cp:category/>
</cp:coreProperties>
</file>